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IV 113</w:t>
      </w:r>
    </w:p>
    <w:p>
      <w:r>
        <w:t>Bundesgericht (BGE), 1966-06-03, FR</w:t>
      </w:r>
    </w:p>
    <w:p>
      <w:r>
        <w:rPr>
          <w:b/>
        </w:rPr>
        <w:t xml:space="preserve">Quelle: </w:t>
      </w:r>
      <w:r>
        <w:t>https://mcp.opencaselaw.ch/entscheid/bge_92 IV 113</w:t>
      </w:r>
    </w:p>
    <w:p>
      <w:r>
        <w:t>FR: ATF 92 IV 113</w:t>
      </w:r>
    </w:p>
    <w:p>
      <w:r>
        <w:t>IT: DTF 92 IV 113</w:t>
      </w:r>
    </w:p>
    <w:p>
      <w:pPr>
        <w:pStyle w:val="Heading2"/>
      </w:pPr>
      <w:r>
        <w:t>Regeste</w:t>
      </w:r>
    </w:p>
    <w:p>
      <w:r>
        <w:t>Regeste Art. 21 Abs. 2 StGB. 1. Ist diese Bestimmung analog auf den Gehilfen anwendbar? Frage offen gelassen (Erw. 2). 2. Wo nach dem Gesetz von einer Bestrafung Umgang genommen werden darf, kann der Richter die Strafe auch nach freiem Ermessen mildern (Erw. 3).</w:t>
      </w:r>
    </w:p>
    <w:p>
      <w:pPr>
        <w:pStyle w:val="Heading2"/>
      </w:pPr>
      <w:r>
        <w:t>Erwägungen</w:t>
      </w:r>
    </w:p>
    <w:p>
      <w:r>
        <w:rPr>
          <w:b/>
        </w:rPr>
        <w:t>E. 1</w:t>
      </w:r>
    </w:p>
    <w:p>
      <w:r>
        <w:t>(Sur le vu des constatations de l'autorité cantonale, le recourant a prêté assistance à ses deux comparses en sachant que ceux-ci commettaient les premiers actes d'exécution d'un vol; il est donc leur complice au sens de l'art. 25 C.P.).</w:t>
      </w:r>
    </w:p>
    <w:p>
      <w:r>
        <w:rPr>
          <w:b/>
        </w:rPr>
        <w:t>E. 2</w:t>
      </w:r>
    </w:p>
    <w:p>
      <w:r>
        <w:t>A titre subsidiaire, le recourant prétend que, même si l'on admet qu'il connaissait le but visé par Comte et Germann, il devrait être exempté de toute peine en vertu de l'art. 21 al. 2 CP. Ayant quitté les lieux avant que Comte ait réussi à forcer la porte, il aurait, de son propre mouvement, renoncé à poursuivre jusqu'au bout son activité coupable et devrait bénéficier du traitement de faveur que la loi prévoit en cas de désistement. Point n'est besoin d'examiner aujourd'hui si l'on pourrait appliquer par analogie l'art. 21 al. 2 CP au complice. En masquant de son corps l'auteur de l'infraction, de façon à éviter qu'il ne fût découvert pendant qu'il se livrait aux premiers actes d'exécution de son crime, Bidlingmeyer a prêté intentionnellement assistance à Comte et Germann. Or il suffit, pour que la complicité soit consommée, que le participant secondaire ait favorisé intentionnellement la commission du crime ou du délit par l'auteur principal, même si le résultat eût été atteint sans son intervention (RO 78 IV 7, 88 IV 27). Ni la nature de l'aide apportée, ni les moyens utilisés, ni la durée de l'assistance ne sont déterminants. Peu importe, dès lors, que le recourant n'ait assisté ses comparses que durant un temps limité et non pas tout au long de leur entreprise. Aussi longtemps qu'il a masqué de son corps l'accusé Comte, il a accompli tous les actes qui le rendaient complice. Il a donc poursuivi jusqu'au bout son activité coupable. Le fait qu'il a quitté les lieux avant que Germann et Comte aient pénétré dans l'arrière-magasin BGE 92 IV 113 S. 115 n'équivalait pas à un désistement (arrêt du 9 février 1950 en la cause Oehle, consid. 3).</w:t>
      </w:r>
    </w:p>
    <w:p>
      <w:r>
        <w:rPr>
          <w:b/>
        </w:rPr>
        <w:t>E. 3</w:t>
      </w:r>
    </w:p>
    <w:p>
      <w:r>
        <w:t>Au surplus, l'art. 21 al. 2 CP fût-il applicable, il demeurait loisible au juge cantonal d'exempter le coupable de toute peine ou de le condamner moins sévèrement en vertu des règles sur l'atténuation libre de la peine (art. 66 CP; cf. RO 74 IV 168). Le recourant ne prétend pas, avec raison, que les juridictions vaudoises aient abusé de leur pouvoir d'appréciation ou qu'elles en aient outrepassé les limites à cet égard.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